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C5" w:rsidRDefault="00FF76C5" w:rsidP="00FF76C5">
      <w:pPr>
        <w:pStyle w:val="Standard"/>
        <w:jc w:val="both"/>
        <w:rPr>
          <w:rFonts w:ascii="Trebuchet MS" w:hAnsi="Trebuchet MS"/>
          <w:sz w:val="22"/>
        </w:rPr>
      </w:pPr>
    </w:p>
    <w:p w:rsidR="00FF76C5" w:rsidRDefault="00FF76C5" w:rsidP="00FF76C5">
      <w:pPr>
        <w:pStyle w:val="Standard"/>
        <w:jc w:val="both"/>
        <w:rPr>
          <w:rFonts w:ascii="Trebuchet MS" w:hAnsi="Trebuchet MS"/>
          <w:sz w:val="22"/>
        </w:rPr>
      </w:pPr>
    </w:p>
    <w:p w:rsidR="00FF76C5" w:rsidRDefault="00FF76C5" w:rsidP="00FF76C5">
      <w:pPr>
        <w:pStyle w:val="Standard"/>
        <w:jc w:val="both"/>
        <w:rPr>
          <w:rFonts w:ascii="Trebuchet MS" w:hAnsi="Trebuchet MS"/>
          <w:sz w:val="22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6201"/>
      </w:tblGrid>
      <w:tr w:rsidR="00FF76C5" w:rsidRPr="00FF76C5" w:rsidTr="001A61B5">
        <w:tc>
          <w:tcPr>
            <w:tcW w:w="34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6C5" w:rsidRDefault="00FF76C5" w:rsidP="001A61B5">
            <w:pPr>
              <w:pStyle w:val="TableContents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noProof/>
                <w:sz w:val="22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1806DFAA" wp14:editId="5ABF44B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28575</wp:posOffset>
                  </wp:positionV>
                  <wp:extent cx="1525905" cy="2214245"/>
                  <wp:effectExtent l="0" t="0" r="0" b="0"/>
                  <wp:wrapTopAndBottom/>
                  <wp:docPr id="1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Gorizia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22 gennaio   -   30 marzo '14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Sala espositiva della Fondazione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Cassa di Risparmio di Gorizia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via Carducci 2 Gorizia</w:t>
            </w:r>
          </w:p>
          <w:p w:rsidR="00FF76C5" w:rsidRDefault="00FF76C5" w:rsidP="001A61B5">
            <w:pPr>
              <w:pStyle w:val="TableContents"/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mer-ven</w:t>
            </w:r>
            <w:proofErr w:type="spellEnd"/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 xml:space="preserve"> 16-19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sab-dom</w:t>
            </w:r>
            <w:proofErr w:type="spellEnd"/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 xml:space="preserve"> 10-19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ingresso gratuito</w:t>
            </w: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</w:p>
          <w:p w:rsidR="00FF76C5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</w:pPr>
            <w:r>
              <w:rPr>
                <w:rFonts w:ascii="Trebuchet MS" w:eastAsia="Brown-Regular" w:hAnsi="Trebuchet MS" w:cs="Brown-Regular"/>
                <w:color w:val="000000"/>
                <w:sz w:val="20"/>
                <w:szCs w:val="20"/>
              </w:rPr>
              <w:t>Info, prenotazioni visite scolastiche e gruppi</w:t>
            </w:r>
          </w:p>
          <w:p w:rsidR="00FF76C5" w:rsidRPr="00AD6F83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</w:pPr>
            <w:r w:rsidRPr="00AD6F83"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  <w:t>T +39 0481 774844</w:t>
            </w:r>
          </w:p>
          <w:p w:rsidR="00FF76C5" w:rsidRPr="00AD6F83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</w:pPr>
            <w:r w:rsidRPr="00AD6F83"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  <w:t>info@ccm.it         www.ccm.it</w:t>
            </w:r>
          </w:p>
          <w:p w:rsidR="00FF76C5" w:rsidRPr="00AD6F83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</w:pPr>
          </w:p>
          <w:p w:rsidR="00FF76C5" w:rsidRPr="00AD6F83" w:rsidRDefault="00FF76C5" w:rsidP="001A61B5">
            <w:pPr>
              <w:pStyle w:val="Standard"/>
              <w:autoSpaceDE w:val="0"/>
              <w:jc w:val="both"/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</w:pPr>
            <w:r w:rsidRPr="00AD6F83"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  <w:t>T +39 0481 537111</w:t>
            </w:r>
          </w:p>
          <w:p w:rsidR="00FF76C5" w:rsidRPr="00AD6F83" w:rsidRDefault="00FF76C5" w:rsidP="001A61B5">
            <w:pPr>
              <w:pStyle w:val="Standard"/>
              <w:autoSpaceDE w:val="0"/>
              <w:jc w:val="both"/>
              <w:rPr>
                <w:rFonts w:ascii="Trebuchet MS" w:hAnsi="Trebuchet MS"/>
                <w:color w:val="000000"/>
                <w:sz w:val="20"/>
                <w:lang w:val="de-DE"/>
              </w:rPr>
            </w:pPr>
            <w:r w:rsidRPr="00AD6F83">
              <w:rPr>
                <w:rFonts w:ascii="Trebuchet MS" w:eastAsia="Brown-Regular" w:hAnsi="Trebuchet MS" w:cs="Brown-Regular"/>
                <w:color w:val="000000"/>
                <w:sz w:val="20"/>
                <w:szCs w:val="20"/>
                <w:lang w:val="de-DE"/>
              </w:rPr>
              <w:t>info@fondazionecarigo.it            www.mostre-fondazionecarigo.it</w:t>
            </w:r>
          </w:p>
        </w:tc>
      </w:tr>
    </w:tbl>
    <w:p w:rsidR="00FF76C5" w:rsidRDefault="00FF76C5" w:rsidP="00FF76C5">
      <w:pPr>
        <w:pStyle w:val="Standard"/>
        <w:autoSpaceDE w:val="0"/>
        <w:jc w:val="both"/>
        <w:rPr>
          <w:rFonts w:ascii="Trebuchet MS" w:hAnsi="Trebuchet MS"/>
          <w:sz w:val="22"/>
          <w:lang w:val="de-DE"/>
        </w:rPr>
      </w:pPr>
    </w:p>
    <w:p w:rsidR="00FF76C5" w:rsidRPr="00AD6F83" w:rsidRDefault="00FF76C5" w:rsidP="00FF76C5">
      <w:pPr>
        <w:pStyle w:val="Standard"/>
        <w:autoSpaceDE w:val="0"/>
        <w:jc w:val="both"/>
        <w:rPr>
          <w:rFonts w:ascii="Trebuchet MS" w:hAnsi="Trebuchet MS"/>
          <w:sz w:val="22"/>
          <w:lang w:val="de-DE"/>
        </w:rPr>
      </w:pPr>
    </w:p>
    <w:p w:rsidR="00FF76C5" w:rsidRPr="00412D7A" w:rsidRDefault="00FF76C5" w:rsidP="00FF76C5">
      <w:pPr>
        <w:pStyle w:val="Standard"/>
        <w:autoSpaceDE w:val="0"/>
        <w:jc w:val="both"/>
        <w:rPr>
          <w:rFonts w:ascii="Trebuchet MS" w:hAnsi="Trebuchet MS"/>
        </w:rPr>
      </w:pPr>
      <w:r w:rsidRPr="00412D7A">
        <w:rPr>
          <w:rFonts w:ascii="Trebuchet MS" w:eastAsia="Brown-Bold" w:hAnsi="Trebuchet MS" w:cs="Brown-Bold"/>
          <w:b/>
          <w:bCs/>
        </w:rPr>
        <w:t xml:space="preserve">Vito </w:t>
      </w:r>
      <w:proofErr w:type="spellStart"/>
      <w:r w:rsidRPr="00412D7A">
        <w:rPr>
          <w:rFonts w:ascii="Trebuchet MS" w:eastAsia="Brown-Bold" w:hAnsi="Trebuchet MS" w:cs="Brown-Bold"/>
          <w:b/>
          <w:bCs/>
        </w:rPr>
        <w:t>Timmel</w:t>
      </w:r>
      <w:proofErr w:type="spellEnd"/>
    </w:p>
    <w:p w:rsidR="00FF76C5" w:rsidRPr="00412D7A" w:rsidRDefault="00FF76C5" w:rsidP="00FF76C5">
      <w:pPr>
        <w:pStyle w:val="Standard"/>
        <w:autoSpaceDE w:val="0"/>
        <w:jc w:val="both"/>
        <w:rPr>
          <w:rFonts w:ascii="Trebuchet MS" w:hAnsi="Trebuchet MS"/>
        </w:rPr>
      </w:pPr>
      <w:r w:rsidRPr="00412D7A">
        <w:rPr>
          <w:rFonts w:ascii="Trebuchet MS" w:eastAsia="Brown-Bold" w:hAnsi="Trebuchet MS" w:cs="Brown-Bold"/>
          <w:b/>
          <w:bCs/>
        </w:rPr>
        <w:t>Suggestioni secessioniste a Monfalcone</w:t>
      </w:r>
    </w:p>
    <w:p w:rsidR="00FF76C5" w:rsidRPr="00412D7A" w:rsidRDefault="00FF76C5" w:rsidP="00FF76C5">
      <w:pPr>
        <w:pStyle w:val="Standard"/>
        <w:jc w:val="both"/>
        <w:rPr>
          <w:rFonts w:ascii="Trebuchet MS" w:hAnsi="Trebuchet MS"/>
        </w:rPr>
      </w:pPr>
    </w:p>
    <w:p w:rsidR="00FF76C5" w:rsidRPr="00412D7A" w:rsidRDefault="00FF76C5" w:rsidP="00FF76C5">
      <w:pPr>
        <w:pStyle w:val="Standard"/>
        <w:jc w:val="both"/>
        <w:rPr>
          <w:rFonts w:ascii="Trebuchet MS" w:hAnsi="Trebuchet MS"/>
          <w:b/>
        </w:rPr>
      </w:pPr>
      <w:r w:rsidRPr="00412D7A">
        <w:rPr>
          <w:rFonts w:ascii="Trebuchet MS" w:hAnsi="Trebuchet MS"/>
          <w:b/>
        </w:rPr>
        <w:t>Dall' Introduzione alla mostra</w:t>
      </w:r>
    </w:p>
    <w:p w:rsidR="00FF76C5" w:rsidRPr="00412D7A" w:rsidRDefault="00FF76C5" w:rsidP="00FF76C5">
      <w:pPr>
        <w:pStyle w:val="Standard"/>
        <w:jc w:val="both"/>
        <w:rPr>
          <w:rFonts w:ascii="Trebuchet MS" w:hAnsi="Trebuchet MS"/>
        </w:rPr>
      </w:pPr>
      <w:r w:rsidRPr="00412D7A">
        <w:rPr>
          <w:rFonts w:ascii="Trebuchet MS" w:hAnsi="Trebuchet MS"/>
        </w:rPr>
        <w:t>di Franca Marri</w:t>
      </w:r>
    </w:p>
    <w:p w:rsidR="00FF76C5" w:rsidRDefault="00FF76C5" w:rsidP="00FF76C5">
      <w:pPr>
        <w:pStyle w:val="Standard"/>
        <w:jc w:val="both"/>
        <w:rPr>
          <w:rFonts w:ascii="Trebuchet MS" w:hAnsi="Trebuchet MS"/>
          <w:sz w:val="20"/>
        </w:rPr>
      </w:pP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Una ventata d'aria secessionista soffiava tra le vie di Monfalcone tra la fine degli anni Dieci e i primi anni Venti, quando per il teatro del quartiere operaio di Panzano si ritrovarono a lavorare fianco a fianco l'ingegnere Dante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Fornasir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e il pittore Vito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. Entrambi, negli stessi anni, avevano studiato a Vienna: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Fornasir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(Cervignano del Friuli, 1882 - 1958) diplomandosi al Politecnico nel 1908 e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(Vienna 1886 - Trieste 1949) prima iscritto alla Scuola di Arti Applicate e quindi all'Accademia di Belle Arti tra il 1906 e il 1909.</w:t>
      </w: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Nella città dei cantieri dei F.lli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Cosulich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,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Fornasir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, che già prima della Grande Guerra aveva lavorato alla progettazione e alla pianificazione del villaggio operaio di Panzano, viene incaricato della progettazione architettonica del Teatro, mentre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allora all'apice della sua carriera, è chiamato a curare l'apparato decorativo insieme ad un fregio rappresentante la storia del teatro.</w:t>
      </w: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L'eclettismo presente nell'impianto architettonico di quello che in origine avrebbe dovuto chiamarsi Teatro Euripide e che in realtà faceva parte di un complesso più ampio denominato “Alloggio per operai con teatro e bagni,” con le sue memorie secessioniste combinate a declinazioni neorinascimentali, ritorna nell'opera del pittore triestino, sicuramente tra le imprese più complesse e impegnative della sua intera produzione artistica.</w:t>
      </w:r>
    </w:p>
    <w:p w:rsidR="00FF76C5" w:rsidRPr="002921FB" w:rsidRDefault="00FF76C5" w:rsidP="00FF76C5">
      <w:pPr>
        <w:pStyle w:val="Standard"/>
        <w:jc w:val="both"/>
        <w:rPr>
          <w:rFonts w:ascii="Trebuchet MS" w:hAnsi="Trebuchet MS" w:cs="Garamond"/>
          <w:sz w:val="20"/>
          <w:szCs w:val="20"/>
        </w:rPr>
      </w:pPr>
    </w:p>
    <w:p w:rsidR="00FF76C5" w:rsidRDefault="00FF76C5" w:rsidP="00FF76C5">
      <w:pPr>
        <w:pStyle w:val="Standard"/>
        <w:jc w:val="both"/>
        <w:rPr>
          <w:rFonts w:ascii="Trebuchet MS" w:hAnsi="Trebuchet MS" w:cs="Garamond"/>
        </w:rPr>
      </w:pPr>
      <w:r>
        <w:rPr>
          <w:rFonts w:ascii="Trebuchet MS" w:hAnsi="Trebuchet MS" w:cs="Garamond"/>
        </w:rPr>
        <w:t>[…]</w:t>
      </w:r>
    </w:p>
    <w:p w:rsidR="00FF76C5" w:rsidRPr="002921FB" w:rsidRDefault="00FF76C5" w:rsidP="00FF76C5">
      <w:pPr>
        <w:pStyle w:val="Standard"/>
        <w:jc w:val="both"/>
        <w:rPr>
          <w:rFonts w:ascii="Trebuchet MS" w:hAnsi="Trebuchet MS" w:cs="Garamond"/>
          <w:sz w:val="20"/>
          <w:szCs w:val="20"/>
        </w:rPr>
      </w:pP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Quanto questo complicato e indiavolato artista fosse attento al potere della linea e alla sfera dei sentimenti, lo si può vedere nella scelta e nella rappresentazione dei personaggi della storia del teatro e della letteratura realizzati per il teatro di Panzano. Accanto ai classici, vengono proposti i protagonisti della letteratura teatrale contemporanea a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, allora di moda: </w:t>
      </w:r>
      <w:r w:rsidRPr="00412D7A">
        <w:rPr>
          <w:rFonts w:ascii="Trebuchet MS" w:eastAsia="TradeGothicNextLTPro-Lt" w:hAnsi="Trebuchet MS" w:cs="Trebuchet MS"/>
          <w:sz w:val="22"/>
        </w:rPr>
        <w:lastRenderedPageBreak/>
        <w:t xml:space="preserve">accanto alla Giulietta di Shakespeare, troviamo Giannetto e Neri dalla Cena delle beffe di Sem Benelli, accanto a Colombina e Arlecchino di Goldoni, l’Ippolito e il San Sebastiano di D’Annunzio,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Mafarka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di Marinetti o personaggi minori di drammi ora quasi dimenticati, come quel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Forchis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uscito dalla tragedia di Morselli intitolata Glauco, o ancora Cecco Angiolieri rivisitato da Nino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Berrini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. Ogni personaggio, ogni soggetto trova la sua espressione attraverso un gesto, una posa, il suo costume, talvolta un breve cenno al luogo in cui agisce, sullo sfondo, in basso.</w:t>
      </w:r>
    </w:p>
    <w:p w:rsidR="00FF76C5" w:rsidRDefault="00FF76C5" w:rsidP="00FF76C5">
      <w:pPr>
        <w:pStyle w:val="Standard"/>
        <w:jc w:val="both"/>
        <w:rPr>
          <w:rFonts w:ascii="Trebuchet MS" w:hAnsi="Trebuchet MS"/>
          <w:sz w:val="20"/>
        </w:rPr>
      </w:pPr>
    </w:p>
    <w:p w:rsidR="00FF76C5" w:rsidRDefault="00FF76C5" w:rsidP="00FF76C5">
      <w:pPr>
        <w:pStyle w:val="Standard"/>
        <w:jc w:val="both"/>
        <w:rPr>
          <w:rFonts w:ascii="Trebuchet MS" w:hAnsi="Trebuchet MS" w:cs="Garamond"/>
        </w:rPr>
      </w:pPr>
      <w:r>
        <w:rPr>
          <w:rFonts w:ascii="Trebuchet MS" w:hAnsi="Trebuchet MS" w:cs="Garamond"/>
        </w:rPr>
        <w:t>[…]</w:t>
      </w:r>
    </w:p>
    <w:p w:rsidR="00FF76C5" w:rsidRDefault="00FF76C5" w:rsidP="00FF76C5">
      <w:pPr>
        <w:pStyle w:val="Standard"/>
        <w:jc w:val="both"/>
        <w:rPr>
          <w:rFonts w:ascii="Trebuchet MS" w:hAnsi="Trebuchet MS"/>
          <w:sz w:val="20"/>
        </w:rPr>
      </w:pP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Vicini allo Jugendstil viennese sono poi tutti i motivi decorativi ideati dall’artista triestino per ornare i diversi ambienti del teatro con la loro ondulata geometria e i loro richiami all’arte del passato. Per la platea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sceglie di riprendere i motivi ornamentali da lui già utilizzati per la decorazione della Sala Massima del Circolo Artistico Triestino con la linea ondulata che corre a descrivere l’arco del boccascena tra motivi ovoidali presenti anche in alcuni dipinti degli anni dieci, ovvero quelli che rivelano un’evidente suggestione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klimtiana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rimeditata e rielaborata in chiave personale. A Monfalcone però si aggiungono le cime marinare che si moltiplicano lungo le parti verticali formando motivi arabescati intorno all’emblema dei Cantieri Navali Triestini ripetuto ai due angoli superiori.</w:t>
      </w:r>
    </w:p>
    <w:p w:rsidR="00FF76C5" w:rsidRPr="002921FB" w:rsidRDefault="00FF76C5" w:rsidP="00FF76C5">
      <w:pPr>
        <w:pStyle w:val="Standard"/>
        <w:jc w:val="both"/>
        <w:rPr>
          <w:rFonts w:ascii="Trebuchet MS" w:hAnsi="Trebuchet MS" w:cs="Garamond"/>
          <w:sz w:val="20"/>
          <w:szCs w:val="20"/>
        </w:rPr>
      </w:pPr>
    </w:p>
    <w:p w:rsidR="00FF76C5" w:rsidRDefault="00FF76C5" w:rsidP="00FF76C5">
      <w:pPr>
        <w:pStyle w:val="Standard"/>
        <w:jc w:val="both"/>
        <w:rPr>
          <w:rFonts w:ascii="Trebuchet MS" w:hAnsi="Trebuchet MS" w:cs="Garamond"/>
        </w:rPr>
      </w:pPr>
      <w:r>
        <w:rPr>
          <w:rFonts w:ascii="Trebuchet MS" w:hAnsi="Trebuchet MS" w:cs="Garamond"/>
        </w:rPr>
        <w:t>[…]</w:t>
      </w:r>
    </w:p>
    <w:p w:rsidR="00FF76C5" w:rsidRPr="002921FB" w:rsidRDefault="00FF76C5" w:rsidP="00FF76C5">
      <w:pPr>
        <w:pStyle w:val="Standard"/>
        <w:jc w:val="both"/>
        <w:rPr>
          <w:rFonts w:ascii="Trebuchet MS" w:hAnsi="Trebuchet MS" w:cs="Garamond"/>
          <w:sz w:val="20"/>
          <w:szCs w:val="20"/>
        </w:rPr>
      </w:pP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Nell'ingresso poi motivi geometrici in stile Joseph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Hoffmann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, si alternano a motivi arabescati che nuovamente ricordano Klimt, mentre negli spazi del ridotto influssi bizantini si fondono al tardogotico veneziano; infine nella palestra vengono inaspettatamente riproposte decorazioni di derivazione romanica.</w:t>
      </w: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Ma la ventata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Sezessionstil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si diffonde quindi pure nel quartiere delle ville per dirigenti e impiegati dove l'ingegner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Fornasir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inventa sempre nuove unità abitative in un eclettismo stilistico capace di comprendere “villini dalla fisionomia nettamente moderna, o altri che arieggiano al gotico veneziano, o altri che risalgono al romanzo, e altri che si accostano al Rinascimento o quelli che hanno la severità del castello turrito e quelli che hanno l’eleganza civettuola del barocco francese.”</w:t>
      </w:r>
    </w:p>
    <w:p w:rsidR="00FF76C5" w:rsidRPr="002921FB" w:rsidRDefault="00FF76C5" w:rsidP="00FF76C5">
      <w:pPr>
        <w:pStyle w:val="Standard"/>
        <w:jc w:val="both"/>
        <w:rPr>
          <w:rFonts w:ascii="Trebuchet MS" w:hAnsi="Trebuchet MS" w:cs="Garamond"/>
          <w:sz w:val="20"/>
          <w:szCs w:val="20"/>
        </w:rPr>
      </w:pPr>
    </w:p>
    <w:p w:rsidR="00FF76C5" w:rsidRDefault="00FF76C5" w:rsidP="00FF76C5">
      <w:pPr>
        <w:pStyle w:val="Standard"/>
        <w:jc w:val="both"/>
        <w:rPr>
          <w:rFonts w:ascii="Trebuchet MS" w:hAnsi="Trebuchet MS" w:cs="Garamond"/>
        </w:rPr>
      </w:pPr>
      <w:r>
        <w:rPr>
          <w:rFonts w:ascii="Trebuchet MS" w:hAnsi="Trebuchet MS" w:cs="Garamond"/>
        </w:rPr>
        <w:t>[…]</w:t>
      </w:r>
    </w:p>
    <w:p w:rsidR="00FF76C5" w:rsidRPr="002921FB" w:rsidRDefault="00FF76C5" w:rsidP="00FF76C5">
      <w:pPr>
        <w:pStyle w:val="Standard"/>
        <w:jc w:val="both"/>
        <w:rPr>
          <w:rFonts w:ascii="Trebuchet MS" w:hAnsi="Trebuchet MS" w:cs="Garamond"/>
          <w:sz w:val="20"/>
          <w:szCs w:val="20"/>
        </w:rPr>
      </w:pPr>
    </w:p>
    <w:p w:rsidR="00FF76C5" w:rsidRPr="00412D7A" w:rsidRDefault="00FF76C5" w:rsidP="00FF76C5">
      <w:pPr>
        <w:pStyle w:val="Standard"/>
        <w:autoSpaceDE w:val="0"/>
        <w:spacing w:line="32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E se oggi non è più possibile ammirare il teatro di Panzano a causa dei bombardamenti subiti durante la seconda guerra mondiale, si può ancora passeggiare in quella che era stata pensata come la città-giardino e che forse è tra le zone più belle, piacevoli e caratteristiche di Monfalcone. Questa mostra vuole insieme ricordare ciò che non c'è più e rivalutare quello che possiamo ancora osservare, apprezzare e preservare.</w:t>
      </w:r>
      <w:bookmarkStart w:id="0" w:name="_GoBack"/>
      <w:bookmarkEnd w:id="0"/>
    </w:p>
    <w:sectPr w:rsidR="00FF76C5" w:rsidRPr="00412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n-Regular">
    <w:charset w:val="00"/>
    <w:family w:val="swiss"/>
    <w:pitch w:val="default"/>
  </w:font>
  <w:font w:name="Brown-Bold">
    <w:charset w:val="00"/>
    <w:family w:val="swiss"/>
    <w:pitch w:val="default"/>
  </w:font>
  <w:font w:name="TradeGothicNextLTPro-Lt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5"/>
    <w:rsid w:val="00F9228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76C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7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76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2014-01-17T11:38:00Z</dcterms:created>
  <dcterms:modified xsi:type="dcterms:W3CDTF">2014-01-17T11:40:00Z</dcterms:modified>
</cp:coreProperties>
</file>