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D51AEF" w:rsidRPr="008857A9" w:rsidTr="00412D7A">
        <w:trPr>
          <w:trHeight w:val="1135"/>
          <w:jc w:val="center"/>
        </w:trPr>
        <w:tc>
          <w:tcPr>
            <w:tcW w:w="4889" w:type="dxa"/>
            <w:shd w:val="clear" w:color="auto" w:fill="auto"/>
          </w:tcPr>
          <w:p w:rsidR="00D51AEF" w:rsidRPr="008857A9" w:rsidRDefault="00D51AEF" w:rsidP="00A676F3">
            <w:pPr>
              <w:suppressAutoHyphens w:val="0"/>
              <w:ind w:left="1380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noProof/>
                <w:kern w:val="0"/>
                <w:lang w:eastAsia="it-IT" w:bidi="ar-SA"/>
              </w:rPr>
              <w:drawing>
                <wp:inline distT="0" distB="0" distL="0" distR="0" wp14:anchorId="4421DB7C" wp14:editId="61EDF318">
                  <wp:extent cx="1245471" cy="638175"/>
                  <wp:effectExtent l="0" t="0" r="0" b="0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47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51AEF" w:rsidRPr="008857A9" w:rsidRDefault="00D51AEF" w:rsidP="00A676F3">
            <w:pPr>
              <w:tabs>
                <w:tab w:val="left" w:pos="1701"/>
                <w:tab w:val="right" w:pos="7938"/>
              </w:tabs>
              <w:suppressAutoHyphens w:val="0"/>
              <w:ind w:left="602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noProof/>
                <w:kern w:val="0"/>
                <w:lang w:eastAsia="it-IT" w:bidi="ar-SA"/>
              </w:rPr>
              <w:drawing>
                <wp:inline distT="0" distB="0" distL="0" distR="0" wp14:anchorId="0093D1C4" wp14:editId="41E2EAD9">
                  <wp:extent cx="1504950" cy="361950"/>
                  <wp:effectExtent l="0" t="0" r="0" b="0"/>
                  <wp:docPr id="5" name="Immagine 5" descr="consorzio_culturale_monfalco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sorzio_culturale_monfalco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AEF" w:rsidRPr="002921FB" w:rsidRDefault="00D51AEF">
      <w:pPr>
        <w:pStyle w:val="Standard"/>
        <w:autoSpaceDE w:val="0"/>
        <w:jc w:val="both"/>
        <w:rPr>
          <w:rFonts w:ascii="Trebuchet MS" w:eastAsia="Brown-Bold" w:hAnsi="Trebuchet MS" w:cs="Brown-Bold"/>
          <w:b/>
          <w:bCs/>
          <w:sz w:val="20"/>
          <w:szCs w:val="20"/>
        </w:rPr>
      </w:pPr>
    </w:p>
    <w:p w:rsidR="00D51AEF" w:rsidRPr="008857A9" w:rsidRDefault="00D51AEF" w:rsidP="00D51AEF">
      <w:pPr>
        <w:tabs>
          <w:tab w:val="left" w:pos="1701"/>
          <w:tab w:val="right" w:pos="7938"/>
        </w:tabs>
        <w:suppressAutoHyphens w:val="0"/>
        <w:jc w:val="center"/>
        <w:rPr>
          <w:rFonts w:eastAsia="Calibri" w:cs="Times New Roman"/>
          <w:kern w:val="0"/>
          <w:lang w:eastAsia="en-US"/>
        </w:rPr>
      </w:pPr>
      <w:r>
        <w:rPr>
          <w:rFonts w:ascii="Trebuchet MS" w:hAnsi="Trebuchet MS" w:cs="Garamond"/>
          <w:noProof/>
          <w:lang w:eastAsia="it-IT" w:bidi="ar-SA"/>
        </w:rPr>
        <w:drawing>
          <wp:inline distT="0" distB="0" distL="0" distR="0">
            <wp:extent cx="1000125" cy="117035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EF" w:rsidRPr="002921FB" w:rsidRDefault="00D51AEF" w:rsidP="00D51AEF">
      <w:pPr>
        <w:spacing w:after="60"/>
        <w:jc w:val="center"/>
        <w:rPr>
          <w:rFonts w:ascii="Cambria" w:hAnsi="Cambria" w:cs="Garamond"/>
          <w:b/>
        </w:rPr>
      </w:pPr>
    </w:p>
    <w:p w:rsidR="00D51AEF" w:rsidRPr="00412D7A" w:rsidRDefault="00D51AEF" w:rsidP="00D51AEF">
      <w:pPr>
        <w:spacing w:after="60"/>
        <w:jc w:val="center"/>
        <w:rPr>
          <w:rFonts w:ascii="Trebuchet MS" w:hAnsi="Trebuchet MS" w:cs="Garamond"/>
          <w:b/>
          <w:sz w:val="36"/>
          <w:szCs w:val="36"/>
        </w:rPr>
      </w:pPr>
      <w:r w:rsidRPr="00412D7A">
        <w:rPr>
          <w:rFonts w:ascii="Trebuchet MS" w:hAnsi="Trebuchet MS" w:cs="Garamond"/>
          <w:b/>
          <w:sz w:val="36"/>
          <w:szCs w:val="36"/>
        </w:rPr>
        <w:t>VITO TIMMEL</w:t>
      </w:r>
    </w:p>
    <w:p w:rsidR="00D51AEF" w:rsidRPr="00412D7A" w:rsidRDefault="00D51AEF" w:rsidP="00D51AEF">
      <w:pPr>
        <w:jc w:val="center"/>
        <w:rPr>
          <w:rFonts w:ascii="Trebuchet MS" w:hAnsi="Trebuchet MS" w:cs="Garamond"/>
          <w:i/>
          <w:sz w:val="26"/>
          <w:szCs w:val="26"/>
        </w:rPr>
      </w:pPr>
      <w:r w:rsidRPr="00412D7A">
        <w:rPr>
          <w:rFonts w:ascii="Trebuchet MS" w:hAnsi="Trebuchet MS" w:cs="Garamond"/>
          <w:i/>
          <w:sz w:val="26"/>
          <w:szCs w:val="26"/>
        </w:rPr>
        <w:t>Suggestioni secessioniste a Monfalcone</w:t>
      </w:r>
    </w:p>
    <w:p w:rsidR="00D51AEF" w:rsidRPr="00412D7A" w:rsidRDefault="00D51AEF" w:rsidP="002921FB">
      <w:pPr>
        <w:spacing w:before="160" w:after="160"/>
        <w:jc w:val="center"/>
        <w:rPr>
          <w:rFonts w:ascii="Trebuchet MS" w:hAnsi="Trebuchet MS" w:cs="Garamond"/>
          <w:sz w:val="26"/>
          <w:szCs w:val="26"/>
        </w:rPr>
      </w:pPr>
      <w:r w:rsidRPr="00412D7A">
        <w:rPr>
          <w:rFonts w:ascii="Trebuchet MS" w:hAnsi="Trebuchet MS" w:cs="Garamond"/>
          <w:sz w:val="26"/>
          <w:szCs w:val="26"/>
        </w:rPr>
        <w:t>22 gennaio – 30 marzo 2014</w:t>
      </w:r>
    </w:p>
    <w:p w:rsidR="00D51AEF" w:rsidRPr="002921FB" w:rsidRDefault="00D51AEF" w:rsidP="00D51AEF">
      <w:pPr>
        <w:jc w:val="center"/>
        <w:rPr>
          <w:rFonts w:ascii="Trebuchet MS" w:hAnsi="Trebuchet MS" w:cs="Garamond"/>
          <w:sz w:val="22"/>
          <w:szCs w:val="22"/>
        </w:rPr>
      </w:pPr>
      <w:r w:rsidRPr="002921FB">
        <w:rPr>
          <w:rFonts w:ascii="Trebuchet MS" w:hAnsi="Trebuchet MS" w:cs="Garamond"/>
          <w:sz w:val="22"/>
          <w:szCs w:val="22"/>
        </w:rPr>
        <w:t>Sala espositiva della Fondazione Cassa di Risparmio di Gorizia</w:t>
      </w:r>
    </w:p>
    <w:p w:rsidR="00D51AEF" w:rsidRPr="002921FB" w:rsidRDefault="00D51AEF" w:rsidP="00D51AEF">
      <w:pPr>
        <w:jc w:val="center"/>
        <w:rPr>
          <w:rFonts w:ascii="Trebuchet MS" w:hAnsi="Trebuchet MS" w:cs="Garamond"/>
          <w:sz w:val="22"/>
          <w:szCs w:val="22"/>
        </w:rPr>
      </w:pPr>
      <w:r w:rsidRPr="002921FB">
        <w:rPr>
          <w:rFonts w:ascii="Trebuchet MS" w:hAnsi="Trebuchet MS" w:cs="Garamond"/>
          <w:sz w:val="22"/>
          <w:szCs w:val="22"/>
        </w:rPr>
        <w:t>via Carducci, 2 - Gorizia</w:t>
      </w:r>
    </w:p>
    <w:p w:rsidR="00D21450" w:rsidRPr="002921FB" w:rsidRDefault="00D21450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412D7A" w:rsidRDefault="00A927CC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hAnsi="Trebuchet MS" w:cs="Garamond"/>
          <w:sz w:val="22"/>
          <w:szCs w:val="22"/>
          <w:u w:val="single"/>
        </w:rPr>
      </w:pPr>
      <w:r w:rsidRPr="00A927CC">
        <w:rPr>
          <w:rFonts w:ascii="Trebuchet MS" w:hAnsi="Trebuchet MS" w:cs="Garamond"/>
          <w:sz w:val="22"/>
          <w:szCs w:val="22"/>
          <w:u w:val="single"/>
        </w:rPr>
        <w:t>COMUNICATO STAMPA</w:t>
      </w:r>
    </w:p>
    <w:p w:rsidR="00A927CC" w:rsidRPr="00A927CC" w:rsidRDefault="00A927CC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hAnsi="Trebuchet MS" w:cs="Garamond"/>
          <w:sz w:val="22"/>
          <w:szCs w:val="22"/>
          <w:u w:val="single"/>
        </w:rPr>
      </w:pP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Sarà </w:t>
      </w:r>
      <w:r w:rsidR="00412D7A" w:rsidRPr="00412D7A">
        <w:rPr>
          <w:rFonts w:ascii="Trebuchet MS" w:eastAsia="TradeGothicNextLTPro-Lt" w:hAnsi="Trebuchet MS" w:cs="Trebuchet MS"/>
          <w:sz w:val="22"/>
        </w:rPr>
        <w:t>inaugurata</w:t>
      </w:r>
      <w:r w:rsidRPr="00412D7A">
        <w:rPr>
          <w:rFonts w:ascii="Trebuchet MS" w:eastAsia="TradeGothicNextLTPro-Lt" w:hAnsi="Trebuchet MS" w:cs="Trebuchet MS"/>
          <w:sz w:val="22"/>
        </w:rPr>
        <w:t xml:space="preserve"> a Gorizia mercoledì 22 gennaio alle 17.30, nella sala espositiva della Fondazione Cassa di Risparmio, la mostra “Vito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. Suggestioni secessioniste a Monfalcone”, allestita insieme al Consorzio Culturale del Monfalconese.</w:t>
      </w: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La rassegna, curata da Franca Marri, presenta il restauro delle dodici grandi tele realizzate da Vito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nel 1921 per il Teatro del Cantiere, una delle strutture che i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Cosulich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fecero costruire nel quartiere operaio di Panzano, a Monfalcone.</w:t>
      </w:r>
    </w:p>
    <w:p w:rsidR="00D21450" w:rsidRPr="00412D7A" w:rsidRDefault="00D21450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Le opere del pittore triestino erano state considerate perdute per decenni, dopo che il teatro, danneggiato dai bombardamenti alleati del 1944-45, era stato completamente demolito per fare spazio a nuove strutture produttive del cantiere navale.</w:t>
      </w: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Di conseguenza furono grandi la sorpresa e l'emozione quando, nel 2000, fu chiaro che i dipinti non erano stati distrutti, ma anzi erano stati conservati proprio a Panzano, all'ultimo piano di un edificio in cui avevano trovato spazio lo studio dello xilografo Tranquillo Marangoni e, prima ancora, la sala di posa del fotografo Giovanni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Cividini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.</w:t>
      </w: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Una coincidenza incredibile: proprio di Giovanni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Cividini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erano infatti le foto – di cui il Consorzio Culturale del Monfalconese conserva ancora i negativi su vetro – che documentavano l'interno del teatro appena costruito, unica traccia visiva delle opere di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.</w:t>
      </w:r>
    </w:p>
    <w:p w:rsidR="00D21450" w:rsidRPr="00412D7A" w:rsidRDefault="00D21450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Grazie alla disponibilità di Paolo Marangoni, figlio di Tranquillo, che desiderava che i dipinti rimanessero a Monfalcone e fossero “restituiti” alla città e al territorio, il CCM, con il sostegno dei nove Comuni del Monfalconese, acquisì i dodici dipinti e avviò immedi</w:t>
      </w:r>
      <w:r w:rsidR="002921FB">
        <w:rPr>
          <w:rFonts w:ascii="Trebuchet MS" w:eastAsia="TradeGothicNextLTPro-Lt" w:hAnsi="Trebuchet MS" w:cs="Trebuchet MS"/>
          <w:sz w:val="22"/>
        </w:rPr>
        <w:t>a</w:t>
      </w:r>
      <w:r w:rsidRPr="00412D7A">
        <w:rPr>
          <w:rFonts w:ascii="Trebuchet MS" w:eastAsia="TradeGothicNextLTPro-Lt" w:hAnsi="Trebuchet MS" w:cs="Trebuchet MS"/>
          <w:sz w:val="22"/>
        </w:rPr>
        <w:t xml:space="preserve">tamente gli indispensabili interventi di recupero e restauro. Per questi interventi sono stati fondamentali i contributi assicurati dalla Fondazione Cassa di Risparmio di Gorizia e dall'Amministrazione </w:t>
      </w:r>
      <w:r w:rsidRPr="00412D7A">
        <w:rPr>
          <w:rFonts w:ascii="Trebuchet MS" w:eastAsia="TradeGothicNextLTPro-Lt" w:hAnsi="Trebuchet MS" w:cs="Trebuchet MS"/>
          <w:sz w:val="22"/>
        </w:rPr>
        <w:lastRenderedPageBreak/>
        <w:t>regionale del Friuli Venezia Giulia.</w:t>
      </w: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Il restauro, operazione difficile e lunga, è stato realizzato da Paola Zotti e Laura Zanella, con la supervisione dei funzionari della Soprintendenza per i Beni storici, </w:t>
      </w:r>
      <w:r w:rsidR="002921FB">
        <w:rPr>
          <w:rFonts w:ascii="Trebuchet MS" w:eastAsia="TradeGothicNextLTPro-Lt" w:hAnsi="Trebuchet MS" w:cs="Trebuchet MS"/>
          <w:sz w:val="22"/>
        </w:rPr>
        <w:t>artistici ed etnoantropologici</w:t>
      </w:r>
      <w:r w:rsidR="00412D7A">
        <w:rPr>
          <w:rFonts w:ascii="Trebuchet MS" w:eastAsia="TradeGothicNextLTPro-Lt" w:hAnsi="Trebuchet MS" w:cs="Trebuchet MS"/>
          <w:sz w:val="22"/>
        </w:rPr>
        <w:t xml:space="preserve"> </w:t>
      </w:r>
      <w:r w:rsidRPr="00412D7A">
        <w:rPr>
          <w:rFonts w:ascii="Trebuchet MS" w:eastAsia="TradeGothicNextLTPro-Lt" w:hAnsi="Trebuchet MS" w:cs="Trebuchet MS"/>
          <w:sz w:val="22"/>
        </w:rPr>
        <w:t xml:space="preserve">del Friuli Venezia Giulia. Fin dall'avvio del “Progetto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” il CCM ha reso disponibile in rete la ricostruzione tridimensionale del teatro di Panzano, un piccolo gioiello liberty di cui anche nella città dei cantieri si era persa la memoria.</w:t>
      </w: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Restava l'incognita di una tela mancante, la tredicesima, di cui è stata ritrovata traccia nel 2008: conservata da un collezionista, ne viene esposta in quest'occasione una riproduzione.</w:t>
      </w:r>
    </w:p>
    <w:p w:rsidR="00D21450" w:rsidRPr="00412D7A" w:rsidRDefault="00D21450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Tre sono i protagonisti della mostra: Vito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Timmel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, autore dei dipinti che decoravano l'interno del teatro, l'ingegner Dante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Fornasir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, progettista della maggior parte degli edifici della “città giardino” di Panzano, e il fotografo Giovanni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Cividini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, autore delle immagini fotografiche che documentano sia lo sviluppo edilizio del quartiere che le attività musicali, teatrali e ricreative ospitate dal teatro dagli anni Venti fino alla seconda guerra mondiale.</w:t>
      </w: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Insieme ad una cinquantina di immagini in grande formato, ricavate dai negativi originali su vetro, saranno esposti inoltre documenti e fotografie originali, relative in particolare alle attività dei gruppi musicali diretti dal maestro Iginio Zuliani, direttore artistico del teatro per alcuni decenni.</w:t>
      </w:r>
    </w:p>
    <w:p w:rsidR="00D21450" w:rsidRPr="00412D7A" w:rsidRDefault="00D21450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La sezione fotografica dedicata al quartiere di Panzano – e in particolare ai due grandi alberghi per i dipendenti e alle ville per dirigenti ed impiegati – suggerisce un percorso alla ricerca di tracce Jugendstil nel quartiere operaio di Panzano. L'atmosfera della Secessione, nonostante tutte le trasformazioni e i rimaneggiamenti, è ancora ben presente in questa parte della città dei cantieri.</w:t>
      </w:r>
    </w:p>
    <w:p w:rsidR="00D21450" w:rsidRPr="00412D7A" w:rsidRDefault="00D21450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 xml:space="preserve">Una sezione particolare della mostra ospiterà infine i lavori di alcuni gruppi di allievi del Liceo artistico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Max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 xml:space="preserve"> Fabiani di Gorizia, che hanno realizzato una serie di ricerche ed elaborazioni grafiche partendo proprio dai fregi e dalle decorazioni che sono ben documentate nelle foto di </w:t>
      </w:r>
      <w:proofErr w:type="spellStart"/>
      <w:r w:rsidRPr="00412D7A">
        <w:rPr>
          <w:rFonts w:ascii="Trebuchet MS" w:eastAsia="TradeGothicNextLTPro-Lt" w:hAnsi="Trebuchet MS" w:cs="Trebuchet MS"/>
          <w:sz w:val="22"/>
        </w:rPr>
        <w:t>Cividini</w:t>
      </w:r>
      <w:proofErr w:type="spellEnd"/>
      <w:r w:rsidRPr="00412D7A">
        <w:rPr>
          <w:rFonts w:ascii="Trebuchet MS" w:eastAsia="TradeGothicNextLTPro-Lt" w:hAnsi="Trebuchet MS" w:cs="Trebuchet MS"/>
          <w:sz w:val="22"/>
        </w:rPr>
        <w:t>.</w:t>
      </w:r>
    </w:p>
    <w:p w:rsidR="00D21450" w:rsidRPr="00412D7A" w:rsidRDefault="00D21450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La mostra potrà essere visitata,</w:t>
      </w:r>
      <w:r w:rsidR="00412D7A">
        <w:rPr>
          <w:rFonts w:ascii="Trebuchet MS" w:eastAsia="TradeGothicNextLTPro-Lt" w:hAnsi="Trebuchet MS" w:cs="Trebuchet MS"/>
          <w:sz w:val="22"/>
        </w:rPr>
        <w:t xml:space="preserve"> a ingresso gratuito,</w:t>
      </w:r>
      <w:r w:rsidRPr="00412D7A">
        <w:rPr>
          <w:rFonts w:ascii="Trebuchet MS" w:eastAsia="TradeGothicNextLTPro-Lt" w:hAnsi="Trebuchet MS" w:cs="Trebuchet MS"/>
          <w:sz w:val="22"/>
        </w:rPr>
        <w:t xml:space="preserve"> nella sala espositiva d</w:t>
      </w:r>
      <w:r w:rsidR="00412D7A">
        <w:rPr>
          <w:rFonts w:ascii="Trebuchet MS" w:eastAsia="TradeGothicNextLTPro-Lt" w:hAnsi="Trebuchet MS" w:cs="Trebuchet MS"/>
          <w:sz w:val="22"/>
        </w:rPr>
        <w:t>ella</w:t>
      </w:r>
      <w:r w:rsidRPr="00412D7A">
        <w:rPr>
          <w:rFonts w:ascii="Trebuchet MS" w:eastAsia="TradeGothicNextLTPro-Lt" w:hAnsi="Trebuchet MS" w:cs="Trebuchet MS"/>
          <w:sz w:val="22"/>
        </w:rPr>
        <w:t xml:space="preserve"> Fondazione Carigo, in via Carducci 2 a Gorizia, fino al 30 marzo, nelle giornate di mercoledì, giovedì e venerdì dalle 16 alle 19, il sabato e la domenica dalle 10 alle 19.</w:t>
      </w:r>
    </w:p>
    <w:p w:rsidR="00D21450" w:rsidRPr="00412D7A" w:rsidRDefault="00AD6F83" w:rsidP="00412D7A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22"/>
        </w:rPr>
      </w:pPr>
      <w:r w:rsidRPr="00412D7A">
        <w:rPr>
          <w:rFonts w:ascii="Trebuchet MS" w:eastAsia="TradeGothicNextLTPro-Lt" w:hAnsi="Trebuchet MS" w:cs="Trebuchet MS"/>
          <w:sz w:val="22"/>
        </w:rPr>
        <w:t>Ogni domenica sarà programmata una visita guidata alla mostra.</w:t>
      </w:r>
    </w:p>
    <w:p w:rsidR="00D21450" w:rsidRPr="00F00A4D" w:rsidRDefault="00D21450" w:rsidP="00F00A4D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A927CC" w:rsidRPr="00F00A4D" w:rsidRDefault="00A927CC" w:rsidP="00F00A4D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sz w:val="16"/>
          <w:szCs w:val="16"/>
        </w:rPr>
      </w:pPr>
    </w:p>
    <w:p w:rsidR="00F00A4D" w:rsidRPr="004B089D" w:rsidRDefault="00A927CC" w:rsidP="00F00A4D">
      <w:pPr>
        <w:pStyle w:val="Standard"/>
        <w:shd w:val="clear" w:color="auto" w:fill="FFFFFF"/>
        <w:spacing w:line="360" w:lineRule="atLeast"/>
        <w:jc w:val="both"/>
        <w:rPr>
          <w:rFonts w:ascii="Trebuchet MS" w:eastAsia="TradeGothicNextLTPro-Lt" w:hAnsi="Trebuchet MS" w:cs="Trebuchet MS"/>
          <w:b/>
          <w:sz w:val="22"/>
        </w:rPr>
      </w:pPr>
      <w:r w:rsidRPr="004B089D">
        <w:rPr>
          <w:rFonts w:ascii="Trebuchet MS" w:eastAsia="TradeGothicNextLTPro-Lt" w:hAnsi="Trebuchet MS" w:cs="Trebuchet MS"/>
          <w:b/>
          <w:sz w:val="22"/>
        </w:rPr>
        <w:t xml:space="preserve">Dalla cartella “Comunicati stampa” del sito </w:t>
      </w:r>
      <w:hyperlink r:id="rId10" w:history="1">
        <w:r w:rsidRPr="004B089D">
          <w:rPr>
            <w:rFonts w:ascii="Trebuchet MS" w:eastAsia="TradeGothicNextLTPro-Lt" w:hAnsi="Trebuchet MS" w:cs="Trebuchet MS"/>
            <w:b/>
            <w:sz w:val="22"/>
            <w:u w:val="single"/>
          </w:rPr>
          <w:t>www.bacheca.ccm.it</w:t>
        </w:r>
      </w:hyperlink>
      <w:r w:rsidRPr="004B089D">
        <w:rPr>
          <w:rFonts w:ascii="Trebuchet MS" w:eastAsia="TradeGothicNextLTPro-Lt" w:hAnsi="Trebuchet MS" w:cs="Trebuchet MS"/>
          <w:b/>
          <w:sz w:val="22"/>
        </w:rPr>
        <w:t xml:space="preserve"> possono essere scaricati </w:t>
      </w:r>
      <w:r w:rsidR="00F00A4D" w:rsidRPr="004B089D">
        <w:rPr>
          <w:rFonts w:ascii="Trebuchet MS" w:eastAsia="TradeGothicNextLTPro-Lt" w:hAnsi="Trebuchet MS" w:cs="Trebuchet MS"/>
          <w:b/>
          <w:sz w:val="22"/>
        </w:rPr>
        <w:t xml:space="preserve">i </w:t>
      </w:r>
      <w:r w:rsidRPr="004B089D">
        <w:rPr>
          <w:rFonts w:ascii="Trebuchet MS" w:eastAsia="TradeGothicNextLTPro-Lt" w:hAnsi="Trebuchet MS" w:cs="Trebuchet MS"/>
          <w:b/>
          <w:sz w:val="22"/>
        </w:rPr>
        <w:t xml:space="preserve">testi </w:t>
      </w:r>
      <w:r w:rsidR="00F00A4D" w:rsidRPr="004B089D">
        <w:rPr>
          <w:rFonts w:ascii="Trebuchet MS" w:eastAsia="TradeGothicNextLTPro-Lt" w:hAnsi="Trebuchet MS" w:cs="Trebuchet MS"/>
          <w:b/>
          <w:sz w:val="22"/>
        </w:rPr>
        <w:t xml:space="preserve">e le immagini </w:t>
      </w:r>
      <w:r w:rsidRPr="004B089D">
        <w:rPr>
          <w:rFonts w:ascii="Trebuchet MS" w:eastAsia="TradeGothicNextLTPro-Lt" w:hAnsi="Trebuchet MS" w:cs="Trebuchet MS"/>
          <w:b/>
          <w:sz w:val="22"/>
        </w:rPr>
        <w:t>relativ</w:t>
      </w:r>
      <w:r w:rsidR="00F00A4D" w:rsidRPr="004B089D">
        <w:rPr>
          <w:rFonts w:ascii="Trebuchet MS" w:eastAsia="TradeGothicNextLTPro-Lt" w:hAnsi="Trebuchet MS" w:cs="Trebuchet MS"/>
          <w:b/>
          <w:sz w:val="22"/>
        </w:rPr>
        <w:t>e</w:t>
      </w:r>
      <w:r w:rsidRPr="004B089D">
        <w:rPr>
          <w:rFonts w:ascii="Trebuchet MS" w:eastAsia="TradeGothicNextLTPro-Lt" w:hAnsi="Trebuchet MS" w:cs="Trebuchet MS"/>
          <w:b/>
          <w:sz w:val="22"/>
        </w:rPr>
        <w:t xml:space="preserve"> alla mostra.</w:t>
      </w:r>
      <w:bookmarkStart w:id="0" w:name="_GoBack"/>
      <w:bookmarkEnd w:id="0"/>
    </w:p>
    <w:sectPr w:rsidR="00F00A4D" w:rsidRPr="004B089D" w:rsidSect="00A927CC">
      <w:pgSz w:w="11906" w:h="16838"/>
      <w:pgMar w:top="993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39" w:rsidRDefault="00AD6F83">
      <w:r>
        <w:separator/>
      </w:r>
    </w:p>
  </w:endnote>
  <w:endnote w:type="continuationSeparator" w:id="0">
    <w:p w:rsidR="00AC5A39" w:rsidRDefault="00A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n-Bold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NextLTPro-L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39" w:rsidRDefault="00AD6F83">
      <w:r>
        <w:rPr>
          <w:color w:val="000000"/>
        </w:rPr>
        <w:separator/>
      </w:r>
    </w:p>
  </w:footnote>
  <w:footnote w:type="continuationSeparator" w:id="0">
    <w:p w:rsidR="00AC5A39" w:rsidRDefault="00AD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450"/>
    <w:rsid w:val="00010677"/>
    <w:rsid w:val="00236EFA"/>
    <w:rsid w:val="002921FB"/>
    <w:rsid w:val="00336726"/>
    <w:rsid w:val="00412D7A"/>
    <w:rsid w:val="004B089D"/>
    <w:rsid w:val="00812F93"/>
    <w:rsid w:val="00973B39"/>
    <w:rsid w:val="00A927CC"/>
    <w:rsid w:val="00AC5A39"/>
    <w:rsid w:val="00AD6F83"/>
    <w:rsid w:val="00BB2F8C"/>
    <w:rsid w:val="00D21450"/>
    <w:rsid w:val="00D51AEF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51AE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AEF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927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2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D51AE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AEF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927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2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checa.ccm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 CULTURALE</dc:creator>
  <cp:lastModifiedBy> </cp:lastModifiedBy>
  <cp:revision>11</cp:revision>
  <cp:lastPrinted>2014-01-17T11:00:00Z</cp:lastPrinted>
  <dcterms:created xsi:type="dcterms:W3CDTF">2014-01-15T08:36:00Z</dcterms:created>
  <dcterms:modified xsi:type="dcterms:W3CDTF">2014-01-17T11:41:00Z</dcterms:modified>
</cp:coreProperties>
</file>